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1134D9" w:rsidRPr="001134D9">
        <w:rPr>
          <w:rFonts w:cs="Arial"/>
          <w:sz w:val="28"/>
          <w:szCs w:val="28"/>
        </w:rPr>
        <w:t>Tankinhalt</w:t>
      </w:r>
    </w:p>
    <w:p w:rsidR="00694A63" w:rsidRPr="00694A63" w:rsidRDefault="00694A63">
      <w:pPr>
        <w:pStyle w:val="IQB-Teilaufgabentitel"/>
        <w:rPr>
          <w:b/>
        </w:rPr>
      </w:pP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5"/>
      </w:tblGrid>
      <w:tr w:rsidR="001134D9" w:rsidTr="001134D9">
        <w:tc>
          <w:tcPr>
            <w:tcW w:w="2466" w:type="dxa"/>
            <w:tcBorders>
              <w:top w:val="single" w:sz="4" w:space="0" w:color="auto"/>
              <w:left w:val="single" w:sz="4" w:space="0" w:color="auto"/>
              <w:bottom w:val="dotted" w:sz="4" w:space="0" w:color="auto"/>
              <w:right w:val="dotted" w:sz="4" w:space="0" w:color="auto"/>
            </w:tcBorders>
            <w:vAlign w:val="center"/>
            <w:hideMark/>
          </w:tcPr>
          <w:p w:rsidR="001134D9" w:rsidRDefault="001134D9">
            <w:pPr>
              <w:pStyle w:val="IQB-Merkmal"/>
              <w:rPr>
                <w:rFonts w:cs="Arial"/>
              </w:rPr>
            </w:pPr>
            <w:r>
              <w:rPr>
                <w:rFonts w:cs="Arial"/>
              </w:rPr>
              <w:t>Leitidee</w:t>
            </w:r>
          </w:p>
        </w:tc>
        <w:tc>
          <w:tcPr>
            <w:tcW w:w="6605" w:type="dxa"/>
            <w:tcBorders>
              <w:top w:val="single" w:sz="4" w:space="0" w:color="auto"/>
              <w:left w:val="dotted" w:sz="4" w:space="0" w:color="auto"/>
              <w:bottom w:val="dotted" w:sz="4" w:space="0" w:color="auto"/>
              <w:right w:val="single" w:sz="4" w:space="0" w:color="auto"/>
            </w:tcBorders>
            <w:hideMark/>
          </w:tcPr>
          <w:p w:rsidR="001134D9" w:rsidRDefault="001134D9">
            <w:pPr>
              <w:pStyle w:val="IQB-Merkmalswert"/>
              <w:rPr>
                <w:rFonts w:cs="Arial"/>
              </w:rPr>
            </w:pPr>
            <w:r>
              <w:rPr>
                <w:rFonts w:cs="Arial"/>
              </w:rPr>
              <w:t>4. Funktionaler Zusammenhang</w:t>
            </w:r>
          </w:p>
        </w:tc>
      </w:tr>
      <w:tr w:rsidR="001134D9" w:rsidTr="001134D9">
        <w:tc>
          <w:tcPr>
            <w:tcW w:w="2466" w:type="dxa"/>
            <w:tcBorders>
              <w:top w:val="dotted" w:sz="4" w:space="0" w:color="auto"/>
              <w:left w:val="single" w:sz="4" w:space="0" w:color="auto"/>
              <w:bottom w:val="dotted" w:sz="4" w:space="0" w:color="auto"/>
              <w:right w:val="dotted" w:sz="4" w:space="0" w:color="auto"/>
            </w:tcBorders>
            <w:vAlign w:val="center"/>
            <w:hideMark/>
          </w:tcPr>
          <w:p w:rsidR="001134D9" w:rsidRDefault="001134D9">
            <w:pPr>
              <w:pStyle w:val="IQB-Merkmal"/>
              <w:rPr>
                <w:rFonts w:cs="Arial"/>
              </w:rPr>
            </w:pPr>
            <w:r>
              <w:rPr>
                <w:rFonts w:cs="Arial"/>
              </w:rPr>
              <w:t>Allgemeine Kompetenzen</w:t>
            </w:r>
          </w:p>
        </w:tc>
        <w:tc>
          <w:tcPr>
            <w:tcW w:w="6605" w:type="dxa"/>
            <w:tcBorders>
              <w:top w:val="dotted" w:sz="4" w:space="0" w:color="auto"/>
              <w:left w:val="dotted" w:sz="4" w:space="0" w:color="auto"/>
              <w:bottom w:val="dotted" w:sz="4" w:space="0" w:color="auto"/>
              <w:right w:val="single" w:sz="4" w:space="0" w:color="auto"/>
            </w:tcBorders>
            <w:hideMark/>
          </w:tcPr>
          <w:p w:rsidR="001134D9" w:rsidRDefault="001134D9">
            <w:pPr>
              <w:pStyle w:val="IQB-Merkmalswert"/>
              <w:rPr>
                <w:rFonts w:cs="Arial"/>
              </w:rPr>
            </w:pPr>
            <w:r>
              <w:rPr>
                <w:rFonts w:cs="Arial"/>
              </w:rPr>
              <w:t>Mathematisch modellieren (K3)</w:t>
            </w:r>
          </w:p>
          <w:p w:rsidR="001134D9" w:rsidRDefault="001134D9">
            <w:pPr>
              <w:pStyle w:val="IQB-Merkmalswert"/>
              <w:rPr>
                <w:rFonts w:cs="Arial"/>
              </w:rPr>
            </w:pPr>
            <w:r>
              <w:rPr>
                <w:rFonts w:cs="Arial"/>
              </w:rPr>
              <w:t>Mit symbolischen, formalen und technischen Elementen der Mathematik umgehen (K5)</w:t>
            </w:r>
          </w:p>
          <w:p w:rsidR="001134D9" w:rsidRDefault="001134D9">
            <w:pPr>
              <w:pStyle w:val="IQB-Merkmalswert"/>
              <w:rPr>
                <w:rFonts w:cs="Arial"/>
              </w:rPr>
            </w:pPr>
            <w:r>
              <w:rPr>
                <w:rFonts w:cs="Arial"/>
              </w:rPr>
              <w:t>Mathematisch kommunizieren (K6)</w:t>
            </w:r>
          </w:p>
        </w:tc>
      </w:tr>
      <w:tr w:rsidR="001134D9" w:rsidTr="001134D9">
        <w:tc>
          <w:tcPr>
            <w:tcW w:w="2466" w:type="dxa"/>
            <w:tcBorders>
              <w:top w:val="dotted" w:sz="4" w:space="0" w:color="auto"/>
              <w:left w:val="single" w:sz="4" w:space="0" w:color="auto"/>
              <w:bottom w:val="dotted" w:sz="4" w:space="0" w:color="auto"/>
              <w:right w:val="dotted" w:sz="4" w:space="0" w:color="auto"/>
            </w:tcBorders>
            <w:vAlign w:val="center"/>
            <w:hideMark/>
          </w:tcPr>
          <w:p w:rsidR="001134D9" w:rsidRDefault="001134D9">
            <w:pPr>
              <w:pStyle w:val="IQB-Merkmal"/>
              <w:rPr>
                <w:rFonts w:cs="Arial"/>
              </w:rPr>
            </w:pPr>
            <w:r>
              <w:rPr>
                <w:rFonts w:cs="Arial"/>
              </w:rPr>
              <w:t>Anforderungsbereich</w:t>
            </w:r>
          </w:p>
        </w:tc>
        <w:tc>
          <w:tcPr>
            <w:tcW w:w="6605" w:type="dxa"/>
            <w:tcBorders>
              <w:top w:val="dotted" w:sz="4" w:space="0" w:color="auto"/>
              <w:left w:val="dotted" w:sz="4" w:space="0" w:color="auto"/>
              <w:bottom w:val="dotted" w:sz="4" w:space="0" w:color="auto"/>
              <w:right w:val="single" w:sz="4" w:space="0" w:color="auto"/>
            </w:tcBorders>
            <w:hideMark/>
          </w:tcPr>
          <w:p w:rsidR="001134D9" w:rsidRDefault="001134D9">
            <w:pPr>
              <w:pStyle w:val="IQB-Merkmalswert"/>
              <w:rPr>
                <w:rFonts w:cs="Arial"/>
              </w:rPr>
            </w:pPr>
            <w:r>
              <w:rPr>
                <w:rFonts w:cs="Arial"/>
              </w:rPr>
              <w:t>I</w:t>
            </w:r>
          </w:p>
        </w:tc>
      </w:tr>
      <w:tr w:rsidR="001134D9" w:rsidTr="001134D9">
        <w:tc>
          <w:tcPr>
            <w:tcW w:w="2466" w:type="dxa"/>
            <w:tcBorders>
              <w:top w:val="dotted" w:sz="4" w:space="0" w:color="auto"/>
              <w:left w:val="single" w:sz="4" w:space="0" w:color="auto"/>
              <w:bottom w:val="single" w:sz="4" w:space="0" w:color="auto"/>
              <w:right w:val="dotted" w:sz="4" w:space="0" w:color="auto"/>
            </w:tcBorders>
            <w:vAlign w:val="center"/>
            <w:hideMark/>
          </w:tcPr>
          <w:p w:rsidR="001134D9" w:rsidRDefault="001134D9">
            <w:pPr>
              <w:pStyle w:val="IQB-Merkmal"/>
              <w:rPr>
                <w:rFonts w:cs="Arial"/>
              </w:rPr>
            </w:pPr>
            <w:r>
              <w:rPr>
                <w:rFonts w:cs="Arial"/>
              </w:rPr>
              <w:t>Kompetenzstufe</w:t>
            </w:r>
          </w:p>
        </w:tc>
        <w:tc>
          <w:tcPr>
            <w:tcW w:w="6605" w:type="dxa"/>
            <w:tcBorders>
              <w:top w:val="dotted" w:sz="4" w:space="0" w:color="auto"/>
              <w:left w:val="dotted" w:sz="4" w:space="0" w:color="auto"/>
              <w:bottom w:val="single" w:sz="4" w:space="0" w:color="auto"/>
              <w:right w:val="single" w:sz="4" w:space="0" w:color="auto"/>
            </w:tcBorders>
            <w:hideMark/>
          </w:tcPr>
          <w:p w:rsidR="001134D9" w:rsidRDefault="001134D9">
            <w:pPr>
              <w:pStyle w:val="IQB-Merkmalswert"/>
              <w:rPr>
                <w:rFonts w:cs="Arial"/>
              </w:rPr>
            </w:pPr>
            <w:r>
              <w:rPr>
                <w:rFonts w:cs="Arial"/>
              </w:rPr>
              <w:t>5</w:t>
            </w:r>
          </w:p>
        </w:tc>
      </w:tr>
    </w:tbl>
    <w:p w:rsidR="00694A63" w:rsidRPr="00694A63" w:rsidRDefault="00694A63" w:rsidP="00694A63">
      <w:pPr>
        <w:pStyle w:val="IQB-Teilaufgabentitel"/>
        <w:rPr>
          <w:b/>
        </w:rPr>
      </w:pPr>
      <w:r w:rsidRPr="00694A63">
        <w:rPr>
          <w:b/>
        </w:rPr>
        <w:t>Aufgabenbezogener Kommentar</w:t>
      </w:r>
    </w:p>
    <w:p w:rsidR="001134D9" w:rsidRDefault="001134D9" w:rsidP="001134D9">
      <w:pPr>
        <w:pStyle w:val="IQB-AnweisungenText"/>
        <w:spacing w:before="0"/>
        <w:rPr>
          <w:rFonts w:ascii="Arial" w:hAnsi="Arial"/>
          <w:sz w:val="22"/>
          <w:szCs w:val="22"/>
        </w:rPr>
      </w:pPr>
      <w:r>
        <w:rPr>
          <w:rFonts w:ascii="Arial" w:hAnsi="Arial"/>
          <w:sz w:val="22"/>
          <w:szCs w:val="22"/>
        </w:rPr>
        <w:t xml:space="preserve">In dieser Aufgabe müssen sich Schülerinnen und Schüler mit der Mathematisierung eines realen Kontextes auseinandersetzen. Da es um die Beziehung zwischen dem Durchschnittsverbrauch und dem aktuellen Tankinhalt eines Autos geht, ist die Aufgabe der Leitidee </w:t>
      </w:r>
      <w:r>
        <w:rPr>
          <w:rFonts w:ascii="Arial" w:hAnsi="Arial"/>
          <w:i/>
          <w:sz w:val="22"/>
          <w:szCs w:val="22"/>
        </w:rPr>
        <w:t xml:space="preserve">Funktionaler Zusammenhang </w:t>
      </w:r>
      <w:r>
        <w:rPr>
          <w:rFonts w:ascii="Arial" w:hAnsi="Arial"/>
          <w:sz w:val="22"/>
          <w:szCs w:val="22"/>
        </w:rPr>
        <w:t xml:space="preserve">(L4) zugeordnet. </w:t>
      </w:r>
    </w:p>
    <w:p w:rsidR="001134D9" w:rsidRDefault="001134D9" w:rsidP="001134D9">
      <w:pPr>
        <w:pStyle w:val="IQB-AnweisungenText"/>
        <w:rPr>
          <w:rFonts w:ascii="Arial" w:hAnsi="Arial"/>
          <w:sz w:val="22"/>
          <w:szCs w:val="22"/>
        </w:rPr>
      </w:pPr>
      <w:r>
        <w:rPr>
          <w:rFonts w:ascii="Arial" w:hAnsi="Arial"/>
          <w:sz w:val="22"/>
          <w:szCs w:val="22"/>
        </w:rPr>
        <w:t xml:space="preserve">Schülerinnen und Schüler entnehmen dazu notwendige Informationen aus dem Text und der Abbildung und zeigen so ihre Kompetenz im Bereich </w:t>
      </w:r>
      <w:r>
        <w:rPr>
          <w:rFonts w:ascii="Arial" w:hAnsi="Arial"/>
          <w:i/>
          <w:sz w:val="22"/>
          <w:szCs w:val="22"/>
        </w:rPr>
        <w:t>Mathematisch kommunizieren</w:t>
      </w:r>
      <w:r>
        <w:rPr>
          <w:rFonts w:ascii="Arial" w:hAnsi="Arial"/>
          <w:sz w:val="22"/>
          <w:szCs w:val="22"/>
        </w:rPr>
        <w:t xml:space="preserve"> (K6). Aus den Angaben des Bordcomputers wird ein passendes mathematisches Modell konstruiert (K3), um die Frage zu beantworten, wie viel Liter Kraftstoff im Tank sind. Außerdem ist die Kompetenz </w:t>
      </w:r>
      <w:r>
        <w:rPr>
          <w:rFonts w:ascii="Arial" w:hAnsi="Arial"/>
          <w:i/>
          <w:sz w:val="22"/>
          <w:szCs w:val="22"/>
        </w:rPr>
        <w:t>Mit symbolischen, formalen und technischen Elementen der Mathematik umgehen</w:t>
      </w:r>
      <w:r>
        <w:rPr>
          <w:rFonts w:ascii="Arial" w:hAnsi="Arial"/>
          <w:sz w:val="22"/>
          <w:szCs w:val="22"/>
        </w:rPr>
        <w:t xml:space="preserve"> (K5) erforderlich, da Operationen mit Zahlen ausgeführt werden müssen. </w:t>
      </w:r>
    </w:p>
    <w:p w:rsidR="001134D9" w:rsidRDefault="001134D9" w:rsidP="001134D9">
      <w:pPr>
        <w:pStyle w:val="IQB-AnweisungenText"/>
        <w:rPr>
          <w:rFonts w:ascii="Arial" w:hAnsi="Arial"/>
          <w:sz w:val="22"/>
          <w:szCs w:val="22"/>
        </w:rPr>
      </w:pPr>
      <w:r>
        <w:rPr>
          <w:rFonts w:ascii="Arial" w:hAnsi="Arial"/>
          <w:sz w:val="22"/>
          <w:szCs w:val="22"/>
        </w:rPr>
        <w:t xml:space="preserve">Schülerinnen und Schüler benutzen zur Lösung der Aufgabe den vertrauten Dreisatz, somit ist die Aufgabe dem Anforderungsbereich I zugeordnet. </w:t>
      </w:r>
    </w:p>
    <w:p w:rsidR="00694A63" w:rsidRPr="00694A63" w:rsidRDefault="00694A63" w:rsidP="00694A63">
      <w:pPr>
        <w:pStyle w:val="IQB-Teilaufgabentitel"/>
        <w:rPr>
          <w:b/>
        </w:rPr>
      </w:pPr>
      <w:r w:rsidRPr="00694A63">
        <w:rPr>
          <w:b/>
        </w:rPr>
        <w:t>Anregungen für den Unterricht</w:t>
      </w:r>
    </w:p>
    <w:p w:rsidR="001134D9" w:rsidRDefault="001134D9" w:rsidP="001134D9">
      <w:pPr>
        <w:pStyle w:val="IQB-AnweisungenText"/>
        <w:spacing w:before="0" w:after="60"/>
        <w:rPr>
          <w:rFonts w:ascii="Arial" w:hAnsi="Arial"/>
          <w:sz w:val="22"/>
          <w:szCs w:val="22"/>
        </w:rPr>
      </w:pPr>
      <w:r>
        <w:rPr>
          <w:rFonts w:ascii="Arial" w:hAnsi="Arial"/>
          <w:sz w:val="22"/>
          <w:szCs w:val="22"/>
        </w:rPr>
        <w:t xml:space="preserve">Bei der Bearbeitung der Aufgabe „Tankinhalt“ können Probleme auftreten. Schülerlösung 1 in Abbildung 1 zeigt, wie die restlichen Kilometer durch den durchschnittlichen Verbrauch in Liter auf 100 Kilometer geteilt werden. </w:t>
      </w:r>
    </w:p>
    <w:p w:rsidR="001134D9" w:rsidRDefault="001134D9" w:rsidP="001134D9">
      <w:pPr>
        <w:pStyle w:val="IQB-AnweisungenText"/>
        <w:keepNext/>
        <w:rPr>
          <w:rFonts w:ascii="Arial" w:hAnsi="Arial"/>
          <w:sz w:val="22"/>
          <w:szCs w:val="22"/>
        </w:rPr>
      </w:pPr>
      <w:r>
        <w:rPr>
          <w:rFonts w:ascii="Arial" w:hAnsi="Arial"/>
          <w:noProof/>
          <w:sz w:val="22"/>
          <w:szCs w:val="22"/>
        </w:rPr>
        <w:drawing>
          <wp:inline distT="0" distB="0" distL="0" distR="0">
            <wp:extent cx="3811270" cy="1158875"/>
            <wp:effectExtent l="19050" t="19050" r="17780" b="222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11270" cy="1158875"/>
                    </a:xfrm>
                    <a:prstGeom prst="rect">
                      <a:avLst/>
                    </a:prstGeom>
                    <a:noFill/>
                    <a:ln w="6350" cmpd="sng">
                      <a:solidFill>
                        <a:srgbClr val="000000"/>
                      </a:solidFill>
                      <a:miter lim="800000"/>
                      <a:headEnd/>
                      <a:tailEnd/>
                    </a:ln>
                    <a:effectLst/>
                  </pic:spPr>
                </pic:pic>
              </a:graphicData>
            </a:graphic>
          </wp:inline>
        </w:drawing>
      </w:r>
    </w:p>
    <w:p w:rsidR="001134D9" w:rsidRDefault="001134D9" w:rsidP="001134D9">
      <w:pPr>
        <w:pStyle w:val="Beschriftung"/>
        <w:spacing w:before="80" w:after="120"/>
        <w:jc w:val="both"/>
        <w:rPr>
          <w:rFonts w:cs="Arial"/>
          <w:b w:val="0"/>
        </w:rPr>
      </w:pPr>
      <w:r>
        <w:rPr>
          <w:rFonts w:cs="Arial"/>
          <w:b w:val="0"/>
        </w:rPr>
        <w:t>Abbildung 1: Schülerlösung 1</w:t>
      </w:r>
    </w:p>
    <w:p w:rsidR="001134D9" w:rsidRDefault="001134D9" w:rsidP="001134D9">
      <w:pPr>
        <w:pStyle w:val="IQB-AnweisungenText"/>
        <w:spacing w:before="0" w:after="160"/>
        <w:rPr>
          <w:rFonts w:ascii="Arial" w:hAnsi="Arial"/>
          <w:sz w:val="22"/>
          <w:szCs w:val="22"/>
        </w:rPr>
      </w:pPr>
      <w:r>
        <w:rPr>
          <w:rFonts w:ascii="Arial" w:hAnsi="Arial"/>
          <w:sz w:val="22"/>
          <w:szCs w:val="22"/>
        </w:rPr>
        <w:t>In Schülerlösung 2 hingegen wird die Anzahl an verbleibenden Kilometern mit dem durchschnittlichen Verbrauch korrekt multipliziert (siehe Abbildung 2). Dabei wird jedoch außeracht gelassen, dass sich der durchschnittliche Verbrauch auf 100 Kilometer bezieht. Es hätte demnach entweder der durchschnittliche Verbrauch auf den Verbrauch pro Kilometer umgerechnet oder die restliche Strecke in die Einheit 100 Kilometer umgerechnet werden müssen.</w:t>
      </w:r>
    </w:p>
    <w:p w:rsidR="001134D9" w:rsidRDefault="001134D9" w:rsidP="001134D9">
      <w:pPr>
        <w:pStyle w:val="IQB-AnweisungenText"/>
        <w:spacing w:before="0"/>
        <w:rPr>
          <w:rFonts w:ascii="Calibri" w:hAnsi="Calibri"/>
          <w:noProof/>
          <w:sz w:val="22"/>
          <w:szCs w:val="22"/>
        </w:rPr>
      </w:pPr>
      <w:r>
        <w:rPr>
          <w:noProof/>
          <w:sz w:val="22"/>
          <w:szCs w:val="22"/>
        </w:rPr>
        <w:lastRenderedPageBreak/>
        <w:drawing>
          <wp:inline distT="0" distB="0" distL="0" distR="0">
            <wp:extent cx="4210050" cy="805815"/>
            <wp:effectExtent l="19050" t="19050" r="19050" b="133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0050" cy="805815"/>
                    </a:xfrm>
                    <a:prstGeom prst="rect">
                      <a:avLst/>
                    </a:prstGeom>
                    <a:noFill/>
                    <a:ln w="6350" cmpd="sng">
                      <a:solidFill>
                        <a:srgbClr val="000000"/>
                      </a:solidFill>
                      <a:miter lim="800000"/>
                      <a:headEnd/>
                      <a:tailEnd/>
                    </a:ln>
                    <a:effectLst/>
                  </pic:spPr>
                </pic:pic>
              </a:graphicData>
            </a:graphic>
          </wp:inline>
        </w:drawing>
      </w:r>
    </w:p>
    <w:p w:rsidR="001134D9" w:rsidRDefault="001134D9" w:rsidP="001134D9">
      <w:pPr>
        <w:pStyle w:val="IQB-AnweisungenText"/>
        <w:spacing w:before="0"/>
        <w:rPr>
          <w:rFonts w:ascii="Arial" w:hAnsi="Arial"/>
          <w:bCs/>
          <w:sz w:val="20"/>
          <w:szCs w:val="20"/>
        </w:rPr>
      </w:pPr>
      <w:r>
        <w:rPr>
          <w:rFonts w:ascii="Arial" w:hAnsi="Arial"/>
          <w:bCs/>
          <w:sz w:val="20"/>
          <w:szCs w:val="20"/>
        </w:rPr>
        <w:t>Abbildung 2: Schülerlösung 2</w:t>
      </w:r>
    </w:p>
    <w:p w:rsidR="001134D9" w:rsidRDefault="001134D9" w:rsidP="001134D9">
      <w:pPr>
        <w:pStyle w:val="IQB-AnweisungenText"/>
        <w:rPr>
          <w:rFonts w:ascii="Arial" w:hAnsi="Arial"/>
          <w:sz w:val="22"/>
          <w:szCs w:val="22"/>
        </w:rPr>
      </w:pPr>
      <w:r>
        <w:rPr>
          <w:rFonts w:ascii="Arial" w:hAnsi="Arial"/>
          <w:sz w:val="22"/>
          <w:szCs w:val="22"/>
        </w:rPr>
        <w:t>Beide Fehllösungen hätten mit geeigneten Validierungsstrategien vermieden oder zumindest bemerkt werden können. Eine unterrichtliche Förderung kann an dieser Stelle ansetzen. Eine erste Validierungsstrategie besteht darin, das Ergebnis hinsichtlich seines Realitätsgehalts zu prüfen. Ein Tank mit einem Fassungsvermögen von 170 Liter wäre für einen PKW bereits sehr ungewöhnlich. Ein Füllvermögen von 4968 Liter erreichen nicht einmal LKW. Schüle</w:t>
      </w:r>
      <w:bookmarkStart w:id="0" w:name="_GoBack"/>
      <w:bookmarkEnd w:id="0"/>
      <w:r>
        <w:rPr>
          <w:rFonts w:ascii="Arial" w:hAnsi="Arial"/>
          <w:sz w:val="22"/>
          <w:szCs w:val="22"/>
        </w:rPr>
        <w:t>rinnen und Schüler, die über ein solches Wissen verfügen, sollten angeregt werden, es bei der Bearbeitung von Modellierungsaufgaben auch einzusetzen.</w:t>
      </w:r>
    </w:p>
    <w:p w:rsidR="001134D9" w:rsidRDefault="001134D9" w:rsidP="001134D9">
      <w:pPr>
        <w:pStyle w:val="IQB-AnweisungenText"/>
        <w:rPr>
          <w:rFonts w:ascii="Arial" w:hAnsi="Arial"/>
          <w:sz w:val="22"/>
          <w:szCs w:val="22"/>
        </w:rPr>
      </w:pPr>
      <w:r>
        <w:rPr>
          <w:rFonts w:ascii="Arial" w:hAnsi="Arial"/>
          <w:sz w:val="22"/>
          <w:szCs w:val="22"/>
        </w:rPr>
        <w:t xml:space="preserve">Eine zweite Validierungsstrategie besteht darin, die angegebenen Maßeinheiten zu nutzen. In Schülerlösung 1 müsste sich bei gleicher Rechnung, jedoch korrekter Verwendung der Maßeinheit </w:t>
      </w:r>
      <w:r>
        <w:rPr>
          <w:rFonts w:ascii="Arial" w:hAnsi="Arial"/>
          <w:position w:val="-24"/>
          <w:sz w:val="22"/>
          <w:szCs w:val="22"/>
        </w:rPr>
        <w:object w:dxaOrig="820" w:dyaOrig="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1.35pt;height:29.25pt" o:ole="">
            <v:imagedata r:id="rId10" o:title=""/>
          </v:shape>
          <o:OLEObject Type="Embed" ProgID="Equation.DSMT4" ShapeID="_x0000_i1027" DrawAspect="Content" ObjectID="_1814608200" r:id="rId11"/>
        </w:object>
      </w:r>
      <w:r>
        <w:rPr>
          <w:rFonts w:ascii="Arial" w:hAnsi="Arial"/>
          <w:sz w:val="22"/>
          <w:szCs w:val="22"/>
        </w:rPr>
        <w:t xml:space="preserve"> ergeben. Auch wenn die falschen Maßeinheiten aus der Rechnung verwendet werden, erhält man anschließend die Maßeinheit </w:t>
      </w:r>
      <w:r>
        <w:rPr>
          <w:rFonts w:ascii="Arial" w:hAnsi="Arial"/>
          <w:position w:val="-24"/>
          <w:sz w:val="22"/>
          <w:szCs w:val="22"/>
        </w:rPr>
        <w:object w:dxaOrig="330" w:dyaOrig="520">
          <v:shape id="_x0000_i1028" type="#_x0000_t75" style="width:16.4pt;height:25.65pt" o:ole="">
            <v:imagedata r:id="rId12" o:title=""/>
          </v:shape>
          <o:OLEObject Type="Embed" ProgID="Equation.DSMT4" ShapeID="_x0000_i1028" DrawAspect="Content" ObjectID="_1814608201" r:id="rId13"/>
        </w:object>
      </w:r>
      <w:r>
        <w:rPr>
          <w:rFonts w:ascii="Arial" w:hAnsi="Arial"/>
          <w:sz w:val="22"/>
          <w:szCs w:val="22"/>
        </w:rPr>
        <w:t xml:space="preserve"> , und nicht wie erwartet die Maßeinheit l. In Schülerlösung 2 erhält man beim Rechnen mit den eigentlich zu verwendenden Maßeinheiten die Maßeinheit </w:t>
      </w:r>
      <w:r>
        <w:rPr>
          <w:rFonts w:ascii="Arial" w:hAnsi="Arial"/>
          <w:position w:val="-24"/>
          <w:sz w:val="22"/>
          <w:szCs w:val="22"/>
        </w:rPr>
        <w:object w:dxaOrig="390" w:dyaOrig="540">
          <v:shape id="_x0000_i1029" type="#_x0000_t75" style="width:19.25pt;height:27.1pt" o:ole="">
            <v:imagedata r:id="rId14" o:title=""/>
          </v:shape>
          <o:OLEObject Type="Embed" ProgID="Equation.DSMT4" ShapeID="_x0000_i1029" DrawAspect="Content" ObjectID="_1814608202" r:id="rId15"/>
        </w:object>
      </w:r>
      <w:r>
        <w:rPr>
          <w:rFonts w:ascii="Arial" w:hAnsi="Arial"/>
          <w:sz w:val="22"/>
          <w:szCs w:val="22"/>
        </w:rPr>
        <w:t xml:space="preserve"> . Rechnet man hingegen mit den tatsächlich verwendeten Maßeinheiten, so erhielte man die Maßeinheit </w:t>
      </w:r>
      <w:r>
        <w:rPr>
          <w:rFonts w:ascii="Arial" w:hAnsi="Arial"/>
          <w:position w:val="-6"/>
          <w:sz w:val="22"/>
          <w:szCs w:val="22"/>
        </w:rPr>
        <w:object w:dxaOrig="480" w:dyaOrig="260">
          <v:shape id="_x0000_i1030" type="#_x0000_t75" style="width:24.25pt;height:12.85pt" o:ole="">
            <v:imagedata r:id="rId16" o:title=""/>
          </v:shape>
          <o:OLEObject Type="Embed" ProgID="Equation.DSMT4" ShapeID="_x0000_i1030" DrawAspect="Content" ObjectID="_1814608203" r:id="rId17"/>
        </w:object>
      </w:r>
      <w:r>
        <w:rPr>
          <w:rFonts w:ascii="Arial" w:hAnsi="Arial"/>
          <w:sz w:val="22"/>
          <w:szCs w:val="22"/>
        </w:rPr>
        <w:t>. So wird durch diese Validierungsstrategie, bekannt aus dem Physikunterricht, ebenso deutlich, dass die angegebenen Lösungen nicht stimmen können. Beide Validierungsstrategien sollten im Unterricht im Nachgang zu dieser Aufgabe thematisiert werden.</w:t>
      </w:r>
    </w:p>
    <w:p w:rsidR="00694A63" w:rsidRPr="0037174F" w:rsidRDefault="00694A63" w:rsidP="001134D9">
      <w:pPr>
        <w:pStyle w:val="IQB-AnweisungenText"/>
        <w:spacing w:before="0"/>
        <w:rPr>
          <w:b/>
        </w:rPr>
      </w:pPr>
    </w:p>
    <w:sectPr w:rsidR="00694A63" w:rsidRPr="0037174F" w:rsidSect="00DB65DC">
      <w:headerReference w:type="even" r:id="rId18"/>
      <w:headerReference w:type="default" r:id="rId19"/>
      <w:footerReference w:type="even" r:id="rId20"/>
      <w:footerReference w:type="default" r:id="rId21"/>
      <w:headerReference w:type="first" r:id="rId22"/>
      <w:footerReference w:type="first" r:id="rId2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93AE8BD1-C0B5-488C-B3A2-A5D92F5E611F}"/>
    <w:embedBold r:id="rId2" w:fontKey="{3552D0C7-DB5A-44C2-A1CA-9FA884ADB0A3}"/>
    <w:embedItalic r:id="rId3" w:fontKey="{14C0201D-A754-4BC8-A02D-0A7B2FB275B9}"/>
    <w:embedBoldItalic r:id="rId4" w:fontKey="{08BB2F46-638B-494D-BF14-4CB084A4A1A9}"/>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34D9"/>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0F54"/>
    <w:rsid w:val="0021671D"/>
    <w:rsid w:val="00220FFD"/>
    <w:rsid w:val="002265B7"/>
    <w:rsid w:val="00226C04"/>
    <w:rsid w:val="00255EFD"/>
    <w:rsid w:val="0026784F"/>
    <w:rsid w:val="00274614"/>
    <w:rsid w:val="00296BA4"/>
    <w:rsid w:val="002D1B6E"/>
    <w:rsid w:val="002F756E"/>
    <w:rsid w:val="00304067"/>
    <w:rsid w:val="00304DCD"/>
    <w:rsid w:val="00322872"/>
    <w:rsid w:val="003375B2"/>
    <w:rsid w:val="00363F67"/>
    <w:rsid w:val="0037174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C077E"/>
    <w:rsid w:val="00DD3C5F"/>
    <w:rsid w:val="00DE1076"/>
    <w:rsid w:val="00DE3D52"/>
    <w:rsid w:val="00DF532B"/>
    <w:rsid w:val="00EA71E2"/>
    <w:rsid w:val="00EC34A6"/>
    <w:rsid w:val="00ED2D11"/>
    <w:rsid w:val="00F0154F"/>
    <w:rsid w:val="00F26733"/>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1"/>
    <o:shapelayout v:ext="edit">
      <o:idmap v:ext="edit" data="1"/>
    </o:shapelayout>
  </w:shapeDefaults>
  <w:decimalSymbol w:val=","/>
  <w:listSeparator w:val=";"/>
  <w14:docId w14:val="21F2C88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Hyperlink">
    <w:name w:val="Hyperlink"/>
    <w:uiPriority w:val="99"/>
    <w:unhideWhenUsed/>
    <w:rsid w:val="00DC077E"/>
    <w:rPr>
      <w:color w:val="0000FF"/>
      <w:u w:val="single"/>
    </w:rPr>
  </w:style>
  <w:style w:type="paragraph" w:styleId="Funotentext">
    <w:name w:val="footnote text"/>
    <w:basedOn w:val="Standard"/>
    <w:link w:val="FunotentextZchn"/>
    <w:rsid w:val="00DC077E"/>
    <w:rPr>
      <w:rFonts w:ascii="Arial" w:hAnsi="Arial"/>
      <w:sz w:val="20"/>
      <w:szCs w:val="20"/>
      <w:lang w:val="x-none" w:eastAsia="x-none"/>
    </w:rPr>
  </w:style>
  <w:style w:type="character" w:customStyle="1" w:styleId="FunotentextZchn">
    <w:name w:val="Fußnotentext Zchn"/>
    <w:basedOn w:val="Absatz-Standardschriftart"/>
    <w:link w:val="Funotentext"/>
    <w:rsid w:val="00DC077E"/>
    <w:rPr>
      <w:rFonts w:ascii="Arial" w:hAnsi="Arial"/>
      <w:lang w:val="x-none" w:eastAsia="x-none"/>
    </w:rPr>
  </w:style>
  <w:style w:type="character" w:styleId="Funotenzeichen">
    <w:name w:val="footnote reference"/>
    <w:rsid w:val="00DC07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253937">
      <w:bodyDiv w:val="1"/>
      <w:marLeft w:val="0"/>
      <w:marRight w:val="0"/>
      <w:marTop w:val="0"/>
      <w:marBottom w:val="0"/>
      <w:divBdr>
        <w:top w:val="none" w:sz="0" w:space="0" w:color="auto"/>
        <w:left w:val="none" w:sz="0" w:space="0" w:color="auto"/>
        <w:bottom w:val="none" w:sz="0" w:space="0" w:color="auto"/>
        <w:right w:val="none" w:sz="0" w:space="0" w:color="auto"/>
      </w:divBdr>
    </w:div>
    <w:div w:id="275452518">
      <w:bodyDiv w:val="1"/>
      <w:marLeft w:val="0"/>
      <w:marRight w:val="0"/>
      <w:marTop w:val="0"/>
      <w:marBottom w:val="0"/>
      <w:divBdr>
        <w:top w:val="none" w:sz="0" w:space="0" w:color="auto"/>
        <w:left w:val="none" w:sz="0" w:space="0" w:color="auto"/>
        <w:bottom w:val="none" w:sz="0" w:space="0" w:color="auto"/>
        <w:right w:val="none" w:sz="0" w:space="0" w:color="auto"/>
      </w:divBdr>
    </w:div>
    <w:div w:id="414476348">
      <w:bodyDiv w:val="1"/>
      <w:marLeft w:val="0"/>
      <w:marRight w:val="0"/>
      <w:marTop w:val="0"/>
      <w:marBottom w:val="0"/>
      <w:divBdr>
        <w:top w:val="none" w:sz="0" w:space="0" w:color="auto"/>
        <w:left w:val="none" w:sz="0" w:space="0" w:color="auto"/>
        <w:bottom w:val="none" w:sz="0" w:space="0" w:color="auto"/>
        <w:right w:val="none" w:sz="0" w:space="0" w:color="auto"/>
      </w:divBdr>
    </w:div>
    <w:div w:id="454254755">
      <w:bodyDiv w:val="1"/>
      <w:marLeft w:val="0"/>
      <w:marRight w:val="0"/>
      <w:marTop w:val="0"/>
      <w:marBottom w:val="0"/>
      <w:divBdr>
        <w:top w:val="none" w:sz="0" w:space="0" w:color="auto"/>
        <w:left w:val="none" w:sz="0" w:space="0" w:color="auto"/>
        <w:bottom w:val="none" w:sz="0" w:space="0" w:color="auto"/>
        <w:right w:val="none" w:sz="0" w:space="0" w:color="auto"/>
      </w:divBdr>
    </w:div>
    <w:div w:id="474880572">
      <w:bodyDiv w:val="1"/>
      <w:marLeft w:val="0"/>
      <w:marRight w:val="0"/>
      <w:marTop w:val="0"/>
      <w:marBottom w:val="0"/>
      <w:divBdr>
        <w:top w:val="none" w:sz="0" w:space="0" w:color="auto"/>
        <w:left w:val="none" w:sz="0" w:space="0" w:color="auto"/>
        <w:bottom w:val="none" w:sz="0" w:space="0" w:color="auto"/>
        <w:right w:val="none" w:sz="0" w:space="0" w:color="auto"/>
      </w:divBdr>
    </w:div>
    <w:div w:id="678654926">
      <w:bodyDiv w:val="1"/>
      <w:marLeft w:val="0"/>
      <w:marRight w:val="0"/>
      <w:marTop w:val="0"/>
      <w:marBottom w:val="0"/>
      <w:divBdr>
        <w:top w:val="none" w:sz="0" w:space="0" w:color="auto"/>
        <w:left w:val="none" w:sz="0" w:space="0" w:color="auto"/>
        <w:bottom w:val="none" w:sz="0" w:space="0" w:color="auto"/>
        <w:right w:val="none" w:sz="0" w:space="0" w:color="auto"/>
      </w:divBdr>
    </w:div>
    <w:div w:id="968785707">
      <w:bodyDiv w:val="1"/>
      <w:marLeft w:val="0"/>
      <w:marRight w:val="0"/>
      <w:marTop w:val="0"/>
      <w:marBottom w:val="0"/>
      <w:divBdr>
        <w:top w:val="none" w:sz="0" w:space="0" w:color="auto"/>
        <w:left w:val="none" w:sz="0" w:space="0" w:color="auto"/>
        <w:bottom w:val="none" w:sz="0" w:space="0" w:color="auto"/>
        <w:right w:val="none" w:sz="0" w:space="0" w:color="auto"/>
      </w:divBdr>
    </w:div>
    <w:div w:id="1527602785">
      <w:bodyDiv w:val="1"/>
      <w:marLeft w:val="0"/>
      <w:marRight w:val="0"/>
      <w:marTop w:val="0"/>
      <w:marBottom w:val="0"/>
      <w:divBdr>
        <w:top w:val="none" w:sz="0" w:space="0" w:color="auto"/>
        <w:left w:val="none" w:sz="0" w:space="0" w:color="auto"/>
        <w:bottom w:val="none" w:sz="0" w:space="0" w:color="auto"/>
        <w:right w:val="none" w:sz="0" w:space="0" w:color="auto"/>
      </w:divBdr>
    </w:div>
    <w:div w:id="1866868000">
      <w:bodyDiv w:val="1"/>
      <w:marLeft w:val="0"/>
      <w:marRight w:val="0"/>
      <w:marTop w:val="0"/>
      <w:marBottom w:val="0"/>
      <w:divBdr>
        <w:top w:val="none" w:sz="0" w:space="0" w:color="auto"/>
        <w:left w:val="none" w:sz="0" w:space="0" w:color="auto"/>
        <w:bottom w:val="none" w:sz="0" w:space="0" w:color="auto"/>
        <w:right w:val="none" w:sz="0" w:space="0" w:color="auto"/>
      </w:divBdr>
    </w:div>
    <w:div w:id="1915816815">
      <w:bodyDiv w:val="1"/>
      <w:marLeft w:val="0"/>
      <w:marRight w:val="0"/>
      <w:marTop w:val="0"/>
      <w:marBottom w:val="0"/>
      <w:divBdr>
        <w:top w:val="none" w:sz="0" w:space="0" w:color="auto"/>
        <w:left w:val="none" w:sz="0" w:space="0" w:color="auto"/>
        <w:bottom w:val="none" w:sz="0" w:space="0" w:color="auto"/>
        <w:right w:val="none" w:sz="0" w:space="0" w:color="auto"/>
      </w:divBdr>
    </w:div>
    <w:div w:id="2034652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footer" Target="footer3.xml"/><Relationship Id="rId10" Type="http://schemas.openxmlformats.org/officeDocument/2006/relationships/image" Target="media/image3.wm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wmf"/><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0FE289-CE14-4A50-98D4-F16080BE0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441</Words>
  <Characters>3088</Characters>
  <Application>Microsoft Office Word</Application>
  <DocSecurity>0</DocSecurity>
  <Lines>55</Lines>
  <Paragraphs>26</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2025-07-21T11:03:00Z</dcterms:created>
  <dcterms:modified xsi:type="dcterms:W3CDTF">2025-07-21T11:03:00Z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